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642EDD" w:rsidRPr="00847E8A" w:rsidRDefault="0087550C" w:rsidP="0087550C">
      <w:pPr>
        <w:pBdr>
          <w:top w:val="single" w:sz="4" w:space="1" w:color="000000"/>
          <w:left w:val="single" w:sz="4" w:space="4" w:color="000000"/>
          <w:bottom w:val="single" w:sz="4" w:space="1" w:color="000000"/>
          <w:right w:val="single" w:sz="4" w:space="4" w:color="000000"/>
        </w:pBdr>
        <w:jc w:val="both"/>
        <w:rPr>
          <w:b/>
        </w:rPr>
      </w:pPr>
      <w:r>
        <w:rPr>
          <w:b/>
        </w:rPr>
        <w:t>O</w:t>
      </w:r>
      <w:r w:rsidR="00642EDD" w:rsidRPr="00847E8A">
        <w:rPr>
          <w:b/>
        </w:rPr>
        <w:t xml:space="preserve">becné zastupiteľstvo </w:t>
      </w:r>
      <w:r w:rsidR="00993E50" w:rsidRPr="00847E8A">
        <w:rPr>
          <w:b/>
        </w:rPr>
        <w:t>Obce Š</w:t>
      </w:r>
      <w:r w:rsidR="00642EDD" w:rsidRPr="00847E8A">
        <w:rPr>
          <w:b/>
        </w:rPr>
        <w:t>tvrt</w:t>
      </w:r>
      <w:r w:rsidR="00993E50" w:rsidRPr="00847E8A">
        <w:rPr>
          <w:b/>
        </w:rPr>
        <w:t>ok</w:t>
      </w:r>
      <w:r w:rsidR="00642EDD" w:rsidRPr="00847E8A">
        <w:rPr>
          <w:b/>
        </w:rPr>
        <w:t xml:space="preserve"> na Ostrove na základe § 6 zák</w:t>
      </w:r>
      <w:r w:rsidR="00993E50" w:rsidRPr="00847E8A">
        <w:rPr>
          <w:b/>
        </w:rPr>
        <w:t>ona č.369</w:t>
      </w:r>
      <w:r w:rsidR="00F05F71">
        <w:rPr>
          <w:b/>
        </w:rPr>
        <w:t>/</w:t>
      </w:r>
      <w:r w:rsidR="00993E50" w:rsidRPr="00847E8A">
        <w:rPr>
          <w:b/>
        </w:rPr>
        <w:t>1990 Zb</w:t>
      </w:r>
      <w:r w:rsidR="00642EDD" w:rsidRPr="00847E8A">
        <w:rPr>
          <w:b/>
        </w:rPr>
        <w:t xml:space="preserve">. </w:t>
      </w:r>
      <w:r w:rsidR="00993E50" w:rsidRPr="00847E8A">
        <w:rPr>
          <w:b/>
        </w:rPr>
        <w:t>o</w:t>
      </w:r>
      <w:r w:rsidR="00642EDD" w:rsidRPr="00847E8A">
        <w:rPr>
          <w:b/>
        </w:rPr>
        <w:t xml:space="preserve"> obecnom zriadení v znení neskorších predpisov a zák</w:t>
      </w:r>
      <w:r w:rsidR="00993E50" w:rsidRPr="00847E8A">
        <w:rPr>
          <w:b/>
        </w:rPr>
        <w:t>ona</w:t>
      </w:r>
      <w:r w:rsidR="00642EDD" w:rsidRPr="00847E8A">
        <w:rPr>
          <w:b/>
        </w:rPr>
        <w:t xml:space="preserve"> č. 58</w:t>
      </w:r>
      <w:r w:rsidR="00993E50" w:rsidRPr="00847E8A">
        <w:rPr>
          <w:b/>
        </w:rPr>
        <w:t>2</w:t>
      </w:r>
      <w:r w:rsidR="00F05F71">
        <w:rPr>
          <w:b/>
        </w:rPr>
        <w:t>/</w:t>
      </w:r>
      <w:r w:rsidR="00993E50" w:rsidRPr="00847E8A">
        <w:rPr>
          <w:b/>
        </w:rPr>
        <w:t>2004 Z.</w:t>
      </w:r>
      <w:r w:rsidR="00642EDD" w:rsidRPr="00847E8A">
        <w:rPr>
          <w:b/>
        </w:rPr>
        <w:t xml:space="preserve">z. o miestnych daniach a miestnom poplatku za komunálne odpady a drobné stavebné odpady  v znení neskorších predpisov v y d á v a  pre  územie </w:t>
      </w:r>
      <w:r w:rsidR="00993E50" w:rsidRPr="00847E8A">
        <w:rPr>
          <w:b/>
        </w:rPr>
        <w:t>O</w:t>
      </w:r>
      <w:r w:rsidR="00642EDD" w:rsidRPr="00847E8A">
        <w:rPr>
          <w:b/>
        </w:rPr>
        <w:t>bce Štvrtok na Ostrove toto</w:t>
      </w:r>
    </w:p>
    <w:p w:rsidR="00642EDD" w:rsidRPr="00847E8A" w:rsidRDefault="00642EDD" w:rsidP="0087550C">
      <w:pPr>
        <w:pBdr>
          <w:top w:val="single" w:sz="4" w:space="1" w:color="000000"/>
          <w:left w:val="single" w:sz="4" w:space="4" w:color="000000"/>
          <w:bottom w:val="single" w:sz="4" w:space="1" w:color="000000"/>
          <w:right w:val="single" w:sz="4" w:space="4" w:color="000000"/>
        </w:pBd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r w:rsidRPr="00847E8A">
        <w:rPr>
          <w:noProof/>
          <w:lang w:eastAsia="sk-SK"/>
        </w:rPr>
        <w:drawing>
          <wp:anchor distT="0" distB="0" distL="114935" distR="114935" simplePos="0" relativeHeight="251659264" behindDoc="1" locked="0" layoutInCell="1" allowOverlap="1">
            <wp:simplePos x="0" y="0"/>
            <wp:positionH relativeFrom="column">
              <wp:posOffset>2357120</wp:posOffset>
            </wp:positionH>
            <wp:positionV relativeFrom="paragraph">
              <wp:posOffset>135890</wp:posOffset>
            </wp:positionV>
            <wp:extent cx="885600" cy="10296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5600" cy="102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DD30A7" w:rsidRPr="00847E8A" w:rsidRDefault="00DD30A7" w:rsidP="0087550C">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Pr="00847E8A" w:rsidRDefault="00642EDD" w:rsidP="0087550C">
      <w:pPr>
        <w:pStyle w:val="Nadpis1"/>
        <w:pBdr>
          <w:top w:val="single" w:sz="4" w:space="1" w:color="000000"/>
          <w:left w:val="single" w:sz="4" w:space="4" w:color="000000"/>
          <w:bottom w:val="single" w:sz="4" w:space="1" w:color="000000"/>
          <w:right w:val="single" w:sz="4" w:space="4" w:color="000000"/>
        </w:pBdr>
        <w:tabs>
          <w:tab w:val="left" w:pos="0"/>
        </w:tabs>
        <w:rPr>
          <w:color w:val="FF0000"/>
        </w:rPr>
      </w:pPr>
      <w:r w:rsidRPr="00847E8A">
        <w:rPr>
          <w:color w:val="FF0000"/>
        </w:rPr>
        <w:t>V Š E O B E C N E     Z Á V Ä Z N É    N A R I A D E N I E</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rPr>
      </w:pPr>
      <w:r w:rsidRPr="00847E8A">
        <w:rPr>
          <w:b/>
        </w:rPr>
        <w:t xml:space="preserve">Číslo: </w:t>
      </w:r>
      <w:r w:rsidR="00946BE4">
        <w:rPr>
          <w:b/>
        </w:rPr>
        <w:t>10/2015</w:t>
      </w:r>
    </w:p>
    <w:p w:rsidR="00642EDD" w:rsidRPr="00847E8A" w:rsidRDefault="00642EDD" w:rsidP="0087550C">
      <w:pPr>
        <w:pBdr>
          <w:top w:val="single" w:sz="4" w:space="1" w:color="000000"/>
          <w:left w:val="single" w:sz="4" w:space="4" w:color="000000"/>
          <w:bottom w:val="single" w:sz="4" w:space="1" w:color="000000"/>
          <w:right w:val="single" w:sz="4" w:space="4" w:color="000000"/>
        </w:pBdr>
        <w:rPr>
          <w:b/>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r w:rsidRPr="00847E8A">
        <w:rPr>
          <w:b/>
          <w:caps/>
        </w:rPr>
        <w:t>o miestnych daniach</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A453F1" w:rsidP="0087550C">
      <w:pPr>
        <w:pBdr>
          <w:top w:val="single" w:sz="4" w:space="1" w:color="000000"/>
          <w:left w:val="single" w:sz="4" w:space="4" w:color="000000"/>
          <w:bottom w:val="single" w:sz="4" w:space="1" w:color="000000"/>
          <w:right w:val="single" w:sz="4" w:space="4" w:color="000000"/>
        </w:pBdr>
        <w:jc w:val="center"/>
        <w:rPr>
          <w:b/>
          <w:caps/>
        </w:rPr>
      </w:pPr>
      <w:r>
        <w:rPr>
          <w:b/>
          <w:caps/>
        </w:rPr>
        <w:t>a </w:t>
      </w:r>
      <w:r w:rsidR="00642EDD" w:rsidRPr="00847E8A">
        <w:rPr>
          <w:b/>
          <w:caps/>
        </w:rPr>
        <w:t>poplatku za komunálne odpady a drobné stavebné odpady</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caps/>
        </w:rPr>
      </w:pPr>
      <w:r w:rsidRPr="00847E8A">
        <w:rPr>
          <w:b/>
          <w:caps/>
        </w:rPr>
        <w:t>na území obce Štvrtok na Ostrove</w:t>
      </w: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87550C" w:rsidRDefault="0087550C"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87550C" w:rsidRPr="00847E8A" w:rsidRDefault="0087550C" w:rsidP="0087550C">
      <w:pPr>
        <w:pBdr>
          <w:top w:val="single" w:sz="4" w:space="1" w:color="000000"/>
          <w:left w:val="single" w:sz="4" w:space="4" w:color="000000"/>
          <w:bottom w:val="single" w:sz="4" w:space="1" w:color="000000"/>
          <w:right w:val="single" w:sz="4" w:space="4" w:color="000000"/>
        </w:pBdr>
        <w:jc w:val="center"/>
        <w:rPr>
          <w:b/>
          <w:i/>
          <w:sz w:val="28"/>
          <w:szCs w:val="28"/>
        </w:rPr>
      </w:pPr>
    </w:p>
    <w:p w:rsidR="00642EDD" w:rsidRPr="00847E8A"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064ECA" w:rsidRDefault="00064ECA" w:rsidP="0087550C">
      <w:pPr>
        <w:pBdr>
          <w:top w:val="single" w:sz="4" w:space="1" w:color="000000"/>
          <w:left w:val="single" w:sz="4" w:space="4" w:color="000000"/>
          <w:bottom w:val="single" w:sz="4" w:space="1" w:color="000000"/>
          <w:right w:val="single" w:sz="4" w:space="4" w:color="000000"/>
        </w:pBdr>
        <w:jc w:val="center"/>
        <w:rPr>
          <w:i/>
          <w:sz w:val="28"/>
          <w:szCs w:val="28"/>
        </w:rPr>
      </w:pPr>
    </w:p>
    <w:p w:rsidR="00064ECA" w:rsidRDefault="00064ECA" w:rsidP="0087550C">
      <w:pPr>
        <w:pBdr>
          <w:top w:val="single" w:sz="4" w:space="1" w:color="000000"/>
          <w:left w:val="single" w:sz="4" w:space="4" w:color="000000"/>
          <w:bottom w:val="single" w:sz="4" w:space="1" w:color="000000"/>
          <w:right w:val="single" w:sz="4" w:space="4" w:color="000000"/>
        </w:pBdr>
        <w:jc w:val="center"/>
        <w:rPr>
          <w:i/>
          <w:sz w:val="28"/>
          <w:szCs w:val="28"/>
        </w:rPr>
      </w:pPr>
    </w:p>
    <w:p w:rsidR="00064ECA" w:rsidRPr="00847E8A" w:rsidRDefault="00064ECA" w:rsidP="0087550C">
      <w:pPr>
        <w:pBdr>
          <w:top w:val="single" w:sz="4" w:space="1" w:color="000000"/>
          <w:left w:val="single" w:sz="4" w:space="4" w:color="000000"/>
          <w:bottom w:val="single" w:sz="4" w:space="1" w:color="000000"/>
          <w:right w:val="single" w:sz="4" w:space="4" w:color="000000"/>
        </w:pBdr>
        <w:jc w:val="center"/>
        <w:rPr>
          <w:i/>
          <w:sz w:val="28"/>
          <w:szCs w:val="28"/>
        </w:rPr>
      </w:pPr>
    </w:p>
    <w:p w:rsidR="00642EDD" w:rsidRDefault="00642EDD" w:rsidP="0087550C">
      <w:pPr>
        <w:pBdr>
          <w:top w:val="single" w:sz="4" w:space="1" w:color="000000"/>
          <w:left w:val="single" w:sz="4" w:space="4" w:color="000000"/>
          <w:bottom w:val="single" w:sz="4" w:space="1" w:color="000000"/>
          <w:right w:val="single" w:sz="4" w:space="4" w:color="000000"/>
        </w:pBdr>
        <w:jc w:val="center"/>
        <w:rPr>
          <w:i/>
          <w:sz w:val="28"/>
          <w:szCs w:val="28"/>
        </w:rPr>
      </w:pPr>
    </w:p>
    <w:p w:rsidR="00A453F1" w:rsidRPr="00847E8A" w:rsidRDefault="00A453F1" w:rsidP="0087550C">
      <w:pPr>
        <w:pBdr>
          <w:top w:val="single" w:sz="4" w:space="1" w:color="000000"/>
          <w:left w:val="single" w:sz="4" w:space="4" w:color="000000"/>
          <w:bottom w:val="single" w:sz="4" w:space="1" w:color="000000"/>
          <w:right w:val="single" w:sz="4" w:space="4" w:color="000000"/>
        </w:pBdr>
        <w:jc w:val="center"/>
        <w:rPr>
          <w:i/>
          <w:sz w:val="28"/>
          <w:szCs w:val="28"/>
        </w:rPr>
      </w:pPr>
    </w:p>
    <w:p w:rsidR="0087550C" w:rsidRDefault="0087550C" w:rsidP="0087550C">
      <w:pPr>
        <w:pBdr>
          <w:top w:val="single" w:sz="4" w:space="1" w:color="000000"/>
          <w:left w:val="single" w:sz="4" w:space="4" w:color="000000"/>
          <w:bottom w:val="single" w:sz="4" w:space="1" w:color="000000"/>
          <w:right w:val="single" w:sz="4" w:space="4" w:color="000000"/>
        </w:pBdr>
        <w:rPr>
          <w:b/>
        </w:rPr>
      </w:pPr>
    </w:p>
    <w:p w:rsidR="0087550C" w:rsidRDefault="0087550C" w:rsidP="0087550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87550C" w:rsidRDefault="0087550C" w:rsidP="00895BCC">
      <w:pPr>
        <w:rPr>
          <w:b/>
        </w:rPr>
      </w:pPr>
    </w:p>
    <w:p w:rsidR="00642EDD" w:rsidRPr="00847E8A" w:rsidRDefault="00642EDD" w:rsidP="00895BCC">
      <w:pPr>
        <w:jc w:val="center"/>
        <w:rPr>
          <w:b/>
        </w:rPr>
      </w:pPr>
      <w:r w:rsidRPr="00847E8A">
        <w:rPr>
          <w:b/>
        </w:rPr>
        <w:lastRenderedPageBreak/>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8C34E0" w:rsidRPr="00946BE4">
        <w:rPr>
          <w:b/>
        </w:rPr>
        <w:t>201</w:t>
      </w:r>
      <w:r w:rsidR="00946BE4" w:rsidRPr="00946BE4">
        <w:rPr>
          <w:b/>
        </w:rPr>
        <w:t>6</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ust. § 90 ods. 3 až 6 zákona č. 582</w:t>
      </w:r>
      <w:r w:rsidR="003768A3">
        <w:t>)</w:t>
      </w:r>
      <w:r w:rsidRPr="00847E8A">
        <w:t>2004 Z.z.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r w:rsidR="00642EDD" w:rsidRPr="00847E8A">
        <w:t xml:space="preserve">ust.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ust. § 6 ods. 2 zákona o miestnych daniach.</w:t>
      </w:r>
    </w:p>
    <w:p w:rsidR="00642EDD" w:rsidRPr="00847E8A" w:rsidRDefault="00642EDD" w:rsidP="00847E8A"/>
    <w:p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w:t>
      </w:r>
      <w:r w:rsidRPr="00847E8A">
        <w:lastRenderedPageBreak/>
        <w:t>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ust.§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r w:rsidR="00642EDD" w:rsidRPr="00847E8A">
        <w:t>ust</w:t>
      </w:r>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ust.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r>
      <w:r w:rsidRPr="00847E8A">
        <w:lastRenderedPageBreak/>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ust.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až 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ust.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písm.b)</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písm.h).</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ust.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642EDD" w:rsidRPr="00847E8A" w:rsidRDefault="00642EDD" w:rsidP="00847E8A">
      <w:pPr>
        <w:ind w:firstLine="708"/>
        <w:jc w:val="both"/>
      </w:pPr>
    </w:p>
    <w:p w:rsidR="005C339C" w:rsidRPr="00A453F1"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ozidlo používané na ich dopravu - §17 ods.3, písm.e).</w:t>
      </w:r>
    </w:p>
    <w:p w:rsidR="00642EDD" w:rsidRPr="003B772B" w:rsidRDefault="00642EDD" w:rsidP="00847E8A">
      <w:pPr>
        <w:jc w:val="center"/>
        <w:rPr>
          <w:b/>
        </w:rPr>
      </w:pPr>
      <w:r w:rsidRPr="003B772B">
        <w:rPr>
          <w:b/>
        </w:rPr>
        <w:lastRenderedPageBreak/>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lastRenderedPageBreak/>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r w:rsidR="00B03DE5">
        <w:t>kal.</w:t>
      </w:r>
      <w:r w:rsidR="00B03DE5" w:rsidRPr="00B03DE5">
        <w:t xml:space="preserve">rok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/kal.rok</w:t>
      </w:r>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lastRenderedPageBreak/>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642EDD"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elektroodpadov, </w:t>
      </w:r>
      <w:r w:rsidR="0007285E" w:rsidRPr="0007285E">
        <w:t xml:space="preserve">použitých batérií a akumulátorov pochádzajúcich od fyzických osôb a biologicky rozložiteľného kuchynského a reštauračného </w:t>
      </w:r>
      <w:r w:rsidR="0007285E">
        <w:t xml:space="preserve">odpadu. (ďalej len     </w:t>
      </w:r>
      <w:r w:rsidR="0007285E" w:rsidRPr="00847E8A">
        <w:t xml:space="preserve">„ poplatok“ </w:t>
      </w:r>
      <w:r w:rsidR="0007285E">
        <w:t>)</w:t>
      </w:r>
      <w:r w:rsidR="00946BE4" w:rsidRPr="00946BE4">
        <w:rPr>
          <w:rStyle w:val="Nadpis1Char"/>
          <w:rFonts w:ascii="Arial" w:hAnsi="Arial" w:cs="Arial"/>
          <w:color w:val="000000"/>
          <w:sz w:val="20"/>
          <w:szCs w:val="20"/>
          <w:shd w:val="clear" w:color="auto" w:fill="FFFFFF"/>
        </w:rPr>
        <w:t xml:space="preserve"> </w:t>
      </w:r>
      <w:r w:rsidR="00946BE4">
        <w:rPr>
          <w:rStyle w:val="apple-converted-space"/>
          <w:rFonts w:ascii="Arial" w:hAnsi="Arial" w:cs="Arial"/>
          <w:color w:val="000000"/>
          <w:sz w:val="20"/>
          <w:szCs w:val="20"/>
          <w:shd w:val="clear" w:color="auto" w:fill="FFFFFF"/>
        </w:rPr>
        <w:t> </w:t>
      </w:r>
      <w:r w:rsidR="00946BE4">
        <w:t xml:space="preserve"> </w:t>
      </w:r>
    </w:p>
    <w:p w:rsidR="0007285E" w:rsidRPr="0007285E" w:rsidRDefault="0007285E"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elektroodpadov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642EDD" w:rsidRPr="00847E8A" w:rsidRDefault="00642EDD" w:rsidP="00847E8A"/>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0" w:name="p78-1-c"/>
      <w:bookmarkEnd w:id="0"/>
    </w:p>
    <w:p w:rsidR="00946BE4" w:rsidRPr="00064ECA" w:rsidRDefault="00946BE4" w:rsidP="00946BE4">
      <w:pPr>
        <w:pStyle w:val="Odsekzoznamu"/>
        <w:numPr>
          <w:ilvl w:val="0"/>
          <w:numId w:val="17"/>
        </w:numPr>
        <w:jc w:val="both"/>
      </w:pPr>
      <w:r w:rsidRPr="00064ECA">
        <w:rPr>
          <w:color w:val="000000"/>
        </w:rPr>
        <w:t>0,020 eura za kilogram drobných stavebných odpadov bez obsahu škodlivín.</w:t>
      </w:r>
    </w:p>
    <w:p w:rsidR="00946BE4" w:rsidRPr="00064EC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064ECA" w:rsidRDefault="00064ECA" w:rsidP="005C339C">
      <w:pPr>
        <w:autoSpaceDE w:val="0"/>
        <w:autoSpaceDN w:val="0"/>
        <w:adjustRightInd w:val="0"/>
        <w:jc w:val="both"/>
      </w:pPr>
    </w:p>
    <w:p w:rsidR="00642EDD" w:rsidRPr="00064ECA" w:rsidRDefault="005C339C" w:rsidP="005C339C">
      <w:pPr>
        <w:autoSpaceDE w:val="0"/>
        <w:autoSpaceDN w:val="0"/>
        <w:adjustRightInd w:val="0"/>
        <w:jc w:val="both"/>
        <w:rPr>
          <w:rFonts w:eastAsiaTheme="minorHAnsi"/>
          <w:lang w:eastAsia="en-US"/>
        </w:rPr>
      </w:pPr>
      <w:r w:rsidRPr="00064ECA">
        <w:t xml:space="preserve">6b) </w:t>
      </w:r>
      <w:r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t.j.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x rok, t.j.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t.j.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 xml:space="preserve">obec môže na základe žiadosti poplatníka na zmiernenie alebo odstránenie tvrdosti zákona vyrubený poplatok znížiť alebo odpustiť </w:t>
      </w:r>
      <w:r w:rsidRPr="00E503E1">
        <w:lastRenderedPageBreak/>
        <w:t>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A60C06" w:rsidRDefault="00A60C06" w:rsidP="00847E8A">
      <w:pPr>
        <w:jc w:val="both"/>
      </w:pP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Pr="00847E8A" w:rsidRDefault="00213F58" w:rsidP="00847E8A">
      <w:pPr>
        <w:pStyle w:val="Nadpis1"/>
        <w:tabs>
          <w:tab w:val="left" w:pos="0"/>
        </w:tabs>
        <w:rPr>
          <w:sz w:val="24"/>
          <w:szCs w:val="24"/>
        </w:rPr>
      </w:pPr>
      <w:r>
        <w:rPr>
          <w:sz w:val="24"/>
          <w:szCs w:val="24"/>
        </w:rPr>
        <w:t xml:space="preserve">Spoločné </w:t>
      </w:r>
      <w:r w:rsidR="00642EDD" w:rsidRPr="00847E8A">
        <w:rPr>
          <w:sz w:val="24"/>
          <w:szCs w:val="24"/>
        </w:rPr>
        <w:t xml:space="preserve">ustanovenia </w:t>
      </w:r>
    </w:p>
    <w:p w:rsidR="005C339C" w:rsidRPr="00847E8A" w:rsidRDefault="005C339C" w:rsidP="00847E8A">
      <w:pPr>
        <w:jc w:val="both"/>
      </w:pPr>
    </w:p>
    <w:p w:rsidR="00642EDD" w:rsidRPr="00213F58" w:rsidRDefault="00642EDD" w:rsidP="00847E8A">
      <w:pPr>
        <w:jc w:val="center"/>
        <w:rPr>
          <w:b/>
        </w:rPr>
      </w:pPr>
      <w:r w:rsidRPr="00213F58">
        <w:rPr>
          <w:b/>
        </w:rPr>
        <w:t>§ 12</w:t>
      </w:r>
    </w:p>
    <w:p w:rsidR="00642EDD" w:rsidRPr="00847E8A" w:rsidRDefault="00642EDD" w:rsidP="00847E8A">
      <w:pPr>
        <w:jc w:val="center"/>
        <w:rPr>
          <w:b/>
        </w:rPr>
      </w:pPr>
      <w:r w:rsidRPr="00847E8A">
        <w:rPr>
          <w:b/>
        </w:rPr>
        <w:t xml:space="preserve">Priznanie k dani z nehnuteľností, k dani za psa, k dani za predajné automaty a k dani za nevýherné hracie prístroje </w:t>
      </w:r>
    </w:p>
    <w:p w:rsidR="00642EDD" w:rsidRPr="00847E8A" w:rsidRDefault="00642EDD" w:rsidP="00847E8A">
      <w:pPr>
        <w:jc w:val="center"/>
        <w:rPr>
          <w:b/>
        </w:rPr>
      </w:pPr>
    </w:p>
    <w:p w:rsidR="00642EDD" w:rsidRPr="00847E8A" w:rsidRDefault="00642EDD" w:rsidP="004D33A7">
      <w:pPr>
        <w:pStyle w:val="Odsekzoznamu"/>
        <w:numPr>
          <w:ilvl w:val="0"/>
          <w:numId w:val="12"/>
        </w:numPr>
        <w:tabs>
          <w:tab w:val="left" w:pos="284"/>
        </w:tabs>
        <w:ind w:left="0" w:firstLine="0"/>
        <w:jc w:val="both"/>
      </w:pPr>
      <w:r w:rsidRPr="00847E8A">
        <w:t xml:space="preserve">Priznanie k dani z nehnuteľností, k dani za psa, k dani za predajné automaty a k dani za nevýherné hracie prístroje je daňovník povinný podať príslušnému správcovi dane do 31. januára toho zdaňovacieho obdobia, v ktorom mu vznikla daňová povinnosť k týmto daniam alebo niektorej z nich podľa stavu k 1. januáru zdaňovacieho obdobia, ak </w:t>
      </w:r>
      <w:r w:rsidR="00D5254A">
        <w:t xml:space="preserve">odseky 2 a 3 § </w:t>
      </w:r>
      <w:r w:rsidR="000E09A7">
        <w:t>9</w:t>
      </w:r>
      <w:r w:rsidR="004D33A7">
        <w:t>9</w:t>
      </w:r>
      <w:r w:rsidR="00D5254A">
        <w:t xml:space="preserve">a zákona o miestnych daniach a </w:t>
      </w:r>
      <w:r w:rsidRPr="00847E8A">
        <w:t xml:space="preserve">toto VZN neustanovujú inak. </w:t>
      </w:r>
    </w:p>
    <w:p w:rsidR="004D33A7" w:rsidRDefault="00642EDD" w:rsidP="004D33A7">
      <w:pPr>
        <w:jc w:val="both"/>
      </w:pPr>
      <w:r w:rsidRPr="00847E8A">
        <w:t>Daňovník nie je povinný podať priznanie k dani z nehnuteľností, ak je pozemok, stavba, byt alebo nebytový priestor v bytovom dome oslobodený od dane podľa § 17 ods. 1 písm. a) a b) zákona o miestnych daniach.</w:t>
      </w:r>
    </w:p>
    <w:p w:rsidR="00A60C06" w:rsidRDefault="00A60C06" w:rsidP="004D33A7">
      <w:pPr>
        <w:jc w:val="both"/>
      </w:pPr>
    </w:p>
    <w:p w:rsidR="004D33A7" w:rsidRDefault="00642EDD" w:rsidP="004D33A7">
      <w:pPr>
        <w:pStyle w:val="Odsekzoznamu"/>
        <w:numPr>
          <w:ilvl w:val="0"/>
          <w:numId w:val="12"/>
        </w:numPr>
        <w:tabs>
          <w:tab w:val="left" w:pos="284"/>
        </w:tabs>
        <w:ind w:left="0" w:firstLine="0"/>
        <w:jc w:val="both"/>
      </w:pPr>
      <w:r w:rsidRPr="00847E8A">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4D33A7" w:rsidRDefault="004D33A7" w:rsidP="004D33A7">
      <w:pPr>
        <w:pStyle w:val="Odsekzoznamu"/>
        <w:tabs>
          <w:tab w:val="left" w:pos="284"/>
        </w:tabs>
        <w:ind w:left="0"/>
        <w:jc w:val="both"/>
      </w:pPr>
    </w:p>
    <w:p w:rsidR="004D33A7" w:rsidRDefault="00642EDD" w:rsidP="004D33A7">
      <w:pPr>
        <w:pStyle w:val="Odsekzoznamu"/>
        <w:numPr>
          <w:ilvl w:val="0"/>
          <w:numId w:val="12"/>
        </w:numPr>
        <w:tabs>
          <w:tab w:val="left" w:pos="284"/>
        </w:tabs>
        <w:ind w:left="0" w:firstLine="0"/>
        <w:jc w:val="both"/>
      </w:pPr>
      <w:r w:rsidRPr="00847E8A">
        <w:t>Ak v priebehu zdaňovacieho obdobia daňovník nadobudne nehnuteľnosť vydražením</w:t>
      </w:r>
      <w:r w:rsidR="000E09A7">
        <w:t xml:space="preserve"> alebo dedením</w:t>
      </w:r>
      <w:r w:rsidRPr="00847E8A">
        <w:t>, je povinný podať priznanie k dani z nehnuteľností do 30 dní od vzniku daňovej povinnosti.</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Ak daňovník podal priznanie k dani z nehnuteľností, k dani za psa, k dani za predajné automaty a k dani za nevýherné hracie prístroje podľa § 99a zákona o miestnych daniach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w:t>
      </w:r>
      <w:r w:rsidR="004D33A7">
        <w:t xml:space="preserve"> dane v lehote podľa § 99a ods.</w:t>
      </w:r>
      <w:r w:rsidRPr="00847E8A">
        <w:t xml:space="preserve">1 zákona o miestnych daniach.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Ak daňovník podal priznanie k dani z nehnuteľností, k dani za psa, k dani za predajné automaty a k dani za nevýherné hracie prístroje podľa § 99a zákona o miestnych daniach a daňová povinnosť k dani za psa, k dani za predajné automaty a k dani za nevýherné hracie </w:t>
      </w:r>
      <w:r w:rsidRPr="00847E8A">
        <w:lastRenderedPageBreak/>
        <w:t xml:space="preserve">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 Ak v priebehu zdaňovacieho obdobia daňovník nadobudne nehnuteľnosť vydražením </w:t>
      </w:r>
      <w:r w:rsidR="004D33A7">
        <w:t xml:space="preserve">alebo dedením </w:t>
      </w:r>
      <w:r w:rsidRPr="00847E8A">
        <w:t>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r w:rsidR="004D33A7">
        <w:t xml:space="preserve"> Dodatočným priznaním nemožno meniť účel využitia stavby.</w:t>
      </w:r>
    </w:p>
    <w:p w:rsidR="004D33A7" w:rsidRDefault="004D33A7" w:rsidP="004D33A7">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w:t>
      </w:r>
      <w:r w:rsidRPr="004D33A7">
        <w:rPr>
          <w:bCs/>
        </w:rPr>
        <w:t>zástupca, ktorého</w:t>
      </w:r>
      <w:r w:rsidRPr="00847E8A">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583FCF" w:rsidRPr="00583FCF" w:rsidRDefault="00583FCF" w:rsidP="00583FCF">
      <w:pPr>
        <w:pStyle w:val="Odsekzoznamu"/>
        <w:rPr>
          <w:bCs/>
        </w:rPr>
      </w:pPr>
    </w:p>
    <w:p w:rsidR="00583FCF" w:rsidRDefault="00642EDD" w:rsidP="00583FCF">
      <w:pPr>
        <w:pStyle w:val="Odsekzoznamu"/>
        <w:numPr>
          <w:ilvl w:val="0"/>
          <w:numId w:val="12"/>
        </w:numPr>
        <w:tabs>
          <w:tab w:val="left" w:pos="284"/>
          <w:tab w:val="left" w:pos="426"/>
        </w:tabs>
        <w:ind w:left="0" w:firstLine="0"/>
        <w:jc w:val="both"/>
      </w:pPr>
      <w:r w:rsidRPr="00583FCF">
        <w:rPr>
          <w:bCs/>
        </w:rPr>
        <w:t xml:space="preserve">Daňovník je povinný v príslušnom priznaní uviesť všetky skutočnosti rozhodujúce na vyrubenie dane. </w:t>
      </w:r>
      <w:r w:rsidRPr="00847E8A">
        <w:t>Ak príslušné priznanie podáva zástupca, ktorého dohodou určili spoluvlastníci, zníženie dane alebo oslobodenie od dane sa pri vyrubení dane zohľadní tomu spoluvlastníkovi, ktorý spĺňa podmienku na zníženie dane alebo oslobodenie od dane.</w:t>
      </w:r>
    </w:p>
    <w:p w:rsidR="00583FCF" w:rsidRDefault="00583FCF" w:rsidP="00583FCF">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 V priznaní k dani z nehnuteľností, k dani za psa, k dani za predajné automaty a k dani za nevýherné hracie prístroje sa uvádza, ak ide o fyzickú osobu meno, priezvisko, titul, adresa trvalého pobytu, rodné číslo, ak ide o právnickú osobu alebo fyzickú osobu, ktorá je podnikateľom, obchodné meno alebo názov alebo dodatok obchodného mena, ak takýto má, identifikačné číslo a sídlo alebo miesto podnikania. Osoby sú povinné vyplniť všetky údaje </w:t>
      </w:r>
      <w:r w:rsidRPr="00847E8A">
        <w:lastRenderedPageBreak/>
        <w:t>podľa priznania k dani z nehnuteľností, k dani za psa, k dani za predajné automaty a k dani za nevýherné hracie prístroje. Osobné údaje podľa tohto odseku sú chránené podľa osobitného predpisu.</w:t>
      </w:r>
    </w:p>
    <w:p w:rsidR="00583FCF" w:rsidRDefault="00583FCF" w:rsidP="00583FCF">
      <w:pPr>
        <w:pStyle w:val="Odsekzoznamu"/>
      </w:pPr>
    </w:p>
    <w:p w:rsidR="004A0D7E" w:rsidRDefault="00642EDD" w:rsidP="004A0D7E">
      <w:pPr>
        <w:pStyle w:val="Odsekzoznamu"/>
        <w:numPr>
          <w:ilvl w:val="0"/>
          <w:numId w:val="12"/>
        </w:numPr>
        <w:tabs>
          <w:tab w:val="left" w:pos="284"/>
          <w:tab w:val="left" w:pos="426"/>
        </w:tabs>
        <w:ind w:left="0" w:firstLine="0"/>
        <w:jc w:val="both"/>
      </w:pPr>
      <w:r w:rsidRPr="00847E8A">
        <w:t>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w:t>
      </w:r>
    </w:p>
    <w:p w:rsidR="004A0D7E" w:rsidRDefault="004A0D7E" w:rsidP="004A0D7E">
      <w:pPr>
        <w:pStyle w:val="Odsekzoznamu"/>
      </w:pPr>
    </w:p>
    <w:p w:rsidR="00642EDD" w:rsidRDefault="00642EDD" w:rsidP="004A0D7E">
      <w:pPr>
        <w:pStyle w:val="Odsekzoznamu"/>
        <w:numPr>
          <w:ilvl w:val="0"/>
          <w:numId w:val="12"/>
        </w:numPr>
        <w:tabs>
          <w:tab w:val="left" w:pos="284"/>
          <w:tab w:val="left" w:pos="426"/>
        </w:tabs>
        <w:ind w:left="0" w:firstLine="0"/>
        <w:jc w:val="both"/>
      </w:pPr>
      <w:r w:rsidRPr="00847E8A">
        <w:t>Na príslušné priznanie sa vzťahujú ustanovenia  zákona o miestnych daniach a  ustanovenie osobitného predpisu, t.j. zákona č. 563</w:t>
      </w:r>
      <w:r w:rsidR="00583FCF">
        <w:t>/</w:t>
      </w:r>
      <w:r w:rsidRPr="00847E8A">
        <w:t xml:space="preserve">2009 Z. z. o  správe  daní (daňový poriadok) a o zmene   a doplnení niektorých zákonov v znení neskorších predpisov vzťahujúce sa na daňové priznanie. </w:t>
      </w:r>
    </w:p>
    <w:p w:rsidR="005C339C" w:rsidRDefault="005C339C" w:rsidP="0045796A">
      <w:pPr>
        <w:jc w:val="center"/>
        <w:rPr>
          <w:b/>
          <w:bCs/>
        </w:rPr>
      </w:pPr>
    </w:p>
    <w:p w:rsidR="005C339C" w:rsidRDefault="005C339C" w:rsidP="0045796A">
      <w:pPr>
        <w:jc w:val="center"/>
        <w:rPr>
          <w:b/>
          <w:bCs/>
        </w:rPr>
      </w:pPr>
    </w:p>
    <w:p w:rsidR="00642EDD" w:rsidRPr="00213F58" w:rsidRDefault="00642EDD" w:rsidP="0045796A">
      <w:pPr>
        <w:jc w:val="center"/>
        <w:rPr>
          <w:b/>
          <w:bCs/>
        </w:rPr>
      </w:pPr>
      <w:r w:rsidRPr="00213F58">
        <w:rPr>
          <w:b/>
          <w:bCs/>
        </w:rPr>
        <w:t>§  13</w:t>
      </w:r>
    </w:p>
    <w:p w:rsidR="00642EDD" w:rsidRPr="00847E8A" w:rsidRDefault="00642EDD" w:rsidP="00847E8A">
      <w:pPr>
        <w:jc w:val="center"/>
        <w:rPr>
          <w:b/>
        </w:rPr>
      </w:pPr>
      <w:r w:rsidRPr="00847E8A">
        <w:rPr>
          <w:b/>
        </w:rPr>
        <w:t xml:space="preserve">Vyrubenie dane z nehnuteľností, dane za psa, dane za predajné automaty </w:t>
      </w:r>
    </w:p>
    <w:p w:rsidR="00642EDD" w:rsidRPr="00847E8A" w:rsidRDefault="00642EDD" w:rsidP="00847E8A">
      <w:pPr>
        <w:jc w:val="center"/>
        <w:rPr>
          <w:b/>
        </w:rPr>
      </w:pPr>
      <w:r w:rsidRPr="00847E8A">
        <w:rPr>
          <w:b/>
        </w:rPr>
        <w:t>a dane za nevýherné hracie prístroje</w:t>
      </w:r>
    </w:p>
    <w:p w:rsidR="00642EDD" w:rsidRPr="00847E8A" w:rsidRDefault="00642EDD" w:rsidP="00847E8A">
      <w:pPr>
        <w:jc w:val="center"/>
        <w:rPr>
          <w:b/>
        </w:rPr>
      </w:pPr>
    </w:p>
    <w:p w:rsidR="00CF277C" w:rsidRDefault="00642EDD" w:rsidP="00CF277C">
      <w:pPr>
        <w:pStyle w:val="Odsekzoznamu"/>
        <w:numPr>
          <w:ilvl w:val="0"/>
          <w:numId w:val="14"/>
        </w:numPr>
        <w:tabs>
          <w:tab w:val="left" w:pos="284"/>
        </w:tabs>
        <w:ind w:left="0" w:firstLine="0"/>
        <w:jc w:val="both"/>
      </w:pPr>
      <w:r w:rsidRPr="00847E8A">
        <w:t>Daň z nehnuteľností, daň za psa, daň za predajné automaty a daň za nevýherné hracie prístroje vyrubuje správca dane každoročne podľa stavu k 1. januáru príslušného zdaňovacieho obdobia na celé zdaňovacie obdobie jedným rozhodnutím, ak odseky 2 až 4, 6 a 7 § 1</w:t>
      </w:r>
      <w:r w:rsidR="00BA2B7F">
        <w:t>3</w:t>
      </w:r>
      <w:r w:rsidRPr="00847E8A">
        <w:t xml:space="preserve"> tohto VZN neustanovujú inak.</w:t>
      </w:r>
    </w:p>
    <w:p w:rsidR="00CF277C" w:rsidRDefault="00CF277C" w:rsidP="00CF277C">
      <w:pPr>
        <w:pStyle w:val="Odsekzoznamu"/>
        <w:tabs>
          <w:tab w:val="left" w:pos="284"/>
        </w:tabs>
        <w:ind w:left="0"/>
        <w:jc w:val="both"/>
      </w:pPr>
    </w:p>
    <w:p w:rsidR="00CF277C" w:rsidRPr="00BA2B7F" w:rsidRDefault="00642EDD" w:rsidP="00CF277C">
      <w:pPr>
        <w:pStyle w:val="Odsekzoznamu"/>
        <w:numPr>
          <w:ilvl w:val="0"/>
          <w:numId w:val="14"/>
        </w:numPr>
        <w:tabs>
          <w:tab w:val="left" w:pos="284"/>
        </w:tabs>
        <w:ind w:left="0" w:firstLine="0"/>
        <w:jc w:val="both"/>
      </w:pPr>
      <w:r w:rsidRPr="00847E8A">
        <w:t xml:space="preserve">Pri nadobudnutí nehnuteľností vydražením </w:t>
      </w:r>
      <w:r w:rsidR="00BA2B7F">
        <w:t xml:space="preserve">alebo dedením </w:t>
      </w:r>
      <w:r w:rsidRPr="00847E8A">
        <w:t xml:space="preserve">správca dane vyrubí rozhodnutím pomernú časť dane z nehnuteľností vydražiteľovi </w:t>
      </w:r>
      <w:r w:rsidR="00BA2B7F">
        <w:t xml:space="preserve">alebo dedičovi </w:t>
      </w:r>
      <w:r w:rsidRPr="00847E8A">
        <w:t>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w:t>
      </w:r>
      <w:r w:rsidR="00BA2B7F">
        <w:t xml:space="preserve"> </w:t>
      </w:r>
      <w:r w:rsidR="00BA2B7F" w:rsidRPr="00BA2B7F">
        <w:rPr>
          <w:color w:val="000000"/>
        </w:rPr>
        <w:t>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Ak správca dane nevyrubil daň za psa, daň za predajné automaty a daň za nevýherné hracie prístroje podľa odseku 1 alebo odseku 3</w:t>
      </w:r>
      <w:r w:rsidR="00BA2B7F">
        <w:t xml:space="preserve"> §13 </w:t>
      </w:r>
      <w:r w:rsidRPr="00847E8A">
        <w:t xml:space="preserve">tohto VZN  a v priebehu zdaňovacieho obdobia zanikla daňová povinnosť, správca dane vyrubí rozhodnutím pomernú časť dane do zániku daňovej povinnosti podľa § 26, 48, 56 zákona o miestnych daniach.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Pri dohode spoluvlastníkov správca dane vyrubí daň z nehnuteľností rozhodnutím zástupcovi, ktorý podal príslušné priznanie a pri bezpodielovom spoluvlastníctve manželov, tomu z manželov, ktorý podal príslušné priznanie.</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Správca dane na základe dodatočného priznania a  dodatočného čiastkového priznania vyrubí rozhodnutím rozdiel dane z nehnuteľností, dane za psa, dane za predajné automaty a </w:t>
      </w:r>
      <w:r w:rsidRPr="00847E8A">
        <w:lastRenderedPageBreak/>
        <w:t>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prístroje alebo niektorej z nich a čiastkového priznania k týmto daniam alebo niektorej z nich, ak sa na nasledujúce zdaňovacie obdobia dodatočné priznanie vzťahuje.</w:t>
      </w:r>
    </w:p>
    <w:p w:rsidR="00CF277C" w:rsidRDefault="00CF277C" w:rsidP="00CF277C">
      <w:pPr>
        <w:pStyle w:val="Odsekzoznamu"/>
      </w:pPr>
    </w:p>
    <w:p w:rsidR="00CF277C" w:rsidRDefault="00642EDD" w:rsidP="00A60C06">
      <w:pPr>
        <w:pStyle w:val="Odsekzoznamu"/>
        <w:numPr>
          <w:ilvl w:val="0"/>
          <w:numId w:val="14"/>
        </w:numPr>
        <w:tabs>
          <w:tab w:val="left" w:pos="284"/>
        </w:tabs>
        <w:ind w:left="0" w:firstLine="0"/>
        <w:jc w:val="both"/>
      </w:pPr>
      <w:r w:rsidRPr="00847E8A">
        <w:t>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A2B7F" w:rsidRDefault="00642EDD" w:rsidP="00BA2B7F">
      <w:pPr>
        <w:pStyle w:val="Odsekzoznamu"/>
        <w:numPr>
          <w:ilvl w:val="0"/>
          <w:numId w:val="14"/>
        </w:numPr>
        <w:tabs>
          <w:tab w:val="left" w:pos="284"/>
        </w:tabs>
        <w:ind w:left="0" w:firstLine="0"/>
        <w:jc w:val="both"/>
      </w:pPr>
      <w:r w:rsidRPr="00847E8A">
        <w:t>Včas podané odvolanie proti rozhodnutiu podľa ods</w:t>
      </w:r>
      <w:r w:rsidR="00CF277C">
        <w:t xml:space="preserve">.1) </w:t>
      </w:r>
      <w:r w:rsidRPr="00847E8A">
        <w:t>§ 1</w:t>
      </w:r>
      <w:r w:rsidR="00BA2B7F">
        <w:t>3</w:t>
      </w:r>
      <w:r w:rsidRPr="00847E8A">
        <w:t xml:space="preserve"> tohto VZN  má odkladný účinok v tej časti výroku, ktorá bola odvolaním napadnutá; právoplatnosť ostatných výrokov nie je dotknutá.</w:t>
      </w:r>
    </w:p>
    <w:p w:rsidR="00BA2B7F" w:rsidRDefault="00BA2B7F" w:rsidP="00BA2B7F">
      <w:pPr>
        <w:pStyle w:val="Odsekzoznamu"/>
      </w:pPr>
    </w:p>
    <w:p w:rsidR="00BA2B7F" w:rsidRDefault="00642EDD" w:rsidP="00BA2B7F">
      <w:pPr>
        <w:pStyle w:val="Odsekzoznamu"/>
        <w:numPr>
          <w:ilvl w:val="0"/>
          <w:numId w:val="14"/>
        </w:numPr>
        <w:tabs>
          <w:tab w:val="left" w:pos="284"/>
        </w:tabs>
        <w:ind w:left="0" w:firstLine="0"/>
        <w:jc w:val="both"/>
      </w:pPr>
      <w:r w:rsidRPr="00847E8A">
        <w:t xml:space="preserve">Vyrubená daň z nehnuteľností, daň za psa, daň za predajné automaty a daň za nevýherné hracie prístroje sú splatné do 15 dní odo dňa nadobudnutia právoplatnosti rozhodnutia. </w:t>
      </w:r>
    </w:p>
    <w:p w:rsidR="00BA2B7F" w:rsidRDefault="00BA2B7F" w:rsidP="00BA2B7F">
      <w:pPr>
        <w:pStyle w:val="Odsekzoznamu"/>
      </w:pPr>
    </w:p>
    <w:p w:rsidR="00CB00E7" w:rsidRDefault="00CB00E7" w:rsidP="00B752A2">
      <w:pPr>
        <w:pStyle w:val="Odsekzoznamu"/>
        <w:numPr>
          <w:ilvl w:val="0"/>
          <w:numId w:val="14"/>
        </w:numPr>
        <w:tabs>
          <w:tab w:val="left" w:pos="284"/>
          <w:tab w:val="left" w:pos="426"/>
        </w:tabs>
        <w:ind w:left="0" w:firstLine="0"/>
        <w:jc w:val="both"/>
      </w:pPr>
      <w:r>
        <w:t>Vyrubenú daň z nehnuteľností nad 660,-€ s</w:t>
      </w:r>
      <w:r w:rsidR="00642EDD" w:rsidRPr="00847E8A">
        <w:t xml:space="preserve">právca dane </w:t>
      </w:r>
      <w:r>
        <w:t xml:space="preserve">Obec Štvrtok na Ostrove </w:t>
      </w:r>
      <w:r w:rsidR="00642EDD" w:rsidRPr="00847E8A">
        <w:t>urč</w:t>
      </w:r>
      <w:r>
        <w:t xml:space="preserve">í </w:t>
      </w:r>
      <w:r w:rsidR="00642EDD" w:rsidRPr="00847E8A">
        <w:t>v</w:t>
      </w:r>
      <w:r>
        <w:t xml:space="preserve"> troch </w:t>
      </w:r>
      <w:r w:rsidR="00642EDD" w:rsidRPr="00847E8A">
        <w:t>splátkach</w:t>
      </w:r>
      <w:r>
        <w:t xml:space="preserve"> nasledovne:</w:t>
      </w:r>
    </w:p>
    <w:p w:rsidR="00CB00E7" w:rsidRDefault="00CB00E7" w:rsidP="00CB00E7">
      <w:pPr>
        <w:pStyle w:val="Odsekzoznamu"/>
      </w:pPr>
    </w:p>
    <w:p w:rsidR="00CB00E7" w:rsidRDefault="00CB00E7" w:rsidP="00CB00E7">
      <w:pPr>
        <w:pStyle w:val="Odsekzoznamu"/>
        <w:numPr>
          <w:ilvl w:val="0"/>
          <w:numId w:val="18"/>
        </w:numPr>
        <w:tabs>
          <w:tab w:val="left" w:pos="284"/>
          <w:tab w:val="left" w:pos="426"/>
        </w:tabs>
        <w:jc w:val="both"/>
      </w:pPr>
      <w:r>
        <w:t xml:space="preserve">prvá splátka dane z nehnuteľností vo výške 20% vyrubenej dane z nehnuteľností je splatná do 15 dní odo dňa nadobudnutia právoplatnosti rozhodnutia </w:t>
      </w:r>
    </w:p>
    <w:p w:rsidR="00CB00E7" w:rsidRDefault="00CB00E7" w:rsidP="00CB00E7">
      <w:pPr>
        <w:pStyle w:val="Odsekzoznamu"/>
        <w:numPr>
          <w:ilvl w:val="0"/>
          <w:numId w:val="18"/>
        </w:numPr>
        <w:tabs>
          <w:tab w:val="left" w:pos="284"/>
          <w:tab w:val="left" w:pos="426"/>
        </w:tabs>
        <w:jc w:val="both"/>
      </w:pPr>
      <w:r>
        <w:t>druhá</w:t>
      </w:r>
      <w:r>
        <w:t xml:space="preserve"> splátka dane z nehnuteľností vo výške </w:t>
      </w:r>
      <w:r>
        <w:t>3</w:t>
      </w:r>
      <w:r>
        <w:t xml:space="preserve">0% vyrubenej dane z nehnuteľností je splatná do </w:t>
      </w:r>
      <w:r>
        <w:t xml:space="preserve">31. augusta bežného roka, na ktorý sa daň z nehnuteľností vyrubuje </w:t>
      </w:r>
    </w:p>
    <w:p w:rsidR="00CB00E7" w:rsidRDefault="00CB00E7" w:rsidP="00CB00E7">
      <w:pPr>
        <w:pStyle w:val="Odsekzoznamu"/>
        <w:numPr>
          <w:ilvl w:val="0"/>
          <w:numId w:val="18"/>
        </w:numPr>
        <w:tabs>
          <w:tab w:val="left" w:pos="284"/>
          <w:tab w:val="left" w:pos="426"/>
        </w:tabs>
        <w:jc w:val="both"/>
      </w:pPr>
      <w:r>
        <w:t xml:space="preserve">tretia </w:t>
      </w:r>
      <w:r>
        <w:t xml:space="preserve"> splátka dane z nehnuteľností vo výške </w:t>
      </w:r>
      <w:r>
        <w:t>5</w:t>
      </w:r>
      <w:r>
        <w:t xml:space="preserve">0% vyrubenej dane z nehnuteľností je splatná do 31. </w:t>
      </w:r>
      <w:r>
        <w:t>októbra</w:t>
      </w:r>
      <w:r>
        <w:t xml:space="preserve"> bežného roka, na ktorý sa daň z nehnuteľností vyrubuje</w:t>
      </w:r>
      <w:r>
        <w:t xml:space="preserve">. </w:t>
      </w:r>
      <w:r>
        <w:t xml:space="preserve"> </w:t>
      </w:r>
    </w:p>
    <w:p w:rsidR="00CB00E7" w:rsidRPr="00A453F1" w:rsidRDefault="00CB00E7" w:rsidP="00A453F1">
      <w:pPr>
        <w:pStyle w:val="Odsekzoznamu"/>
        <w:tabs>
          <w:tab w:val="left" w:pos="284"/>
          <w:tab w:val="left" w:pos="426"/>
        </w:tabs>
        <w:ind w:left="720"/>
        <w:jc w:val="both"/>
      </w:pPr>
      <w:r>
        <w:t xml:space="preserve"> </w:t>
      </w:r>
    </w:p>
    <w:p w:rsidR="00642EDD" w:rsidRPr="0045796A" w:rsidRDefault="00BA2B7F" w:rsidP="00B752A2">
      <w:pPr>
        <w:pStyle w:val="Odsekzoznamu"/>
        <w:numPr>
          <w:ilvl w:val="0"/>
          <w:numId w:val="14"/>
        </w:numPr>
        <w:tabs>
          <w:tab w:val="left" w:pos="284"/>
          <w:tab w:val="left" w:pos="426"/>
        </w:tabs>
        <w:ind w:left="0" w:firstLine="0"/>
        <w:jc w:val="both"/>
      </w:pPr>
      <w:r w:rsidRPr="0045796A">
        <w:rPr>
          <w:color w:val="000000"/>
        </w:rPr>
        <w:t>Splátky dane sú splatné v lehotách určených správcom dane v rozhodnutí, ktorým sa vyrubuje daň. Daňovník môže vyrubenú daň z nehnuteľností, daň za psa, daň za predajné automaty a daň za nevýherné hracie prístroje, ktorá bola rozhodnutím správcu dane určená</w:t>
      </w:r>
      <w:r w:rsidR="00A453F1">
        <w:rPr>
          <w:color w:val="000000"/>
        </w:rPr>
        <w:t xml:space="preserve"> v splátkach, zaplatiť aj naraz, </w:t>
      </w:r>
      <w:r w:rsidRPr="0045796A">
        <w:rPr>
          <w:color w:val="000000"/>
        </w:rPr>
        <w:t>najneskôr v lehote splatnosti prvej splátky.</w:t>
      </w:r>
    </w:p>
    <w:p w:rsidR="00A60C06" w:rsidRDefault="00A60C06" w:rsidP="00847E8A">
      <w:pPr>
        <w:jc w:val="center"/>
      </w:pPr>
    </w:p>
    <w:p w:rsidR="005C339C" w:rsidRPr="00847E8A" w:rsidRDefault="005C339C" w:rsidP="00847E8A">
      <w:pPr>
        <w:jc w:val="center"/>
      </w:pPr>
    </w:p>
    <w:p w:rsidR="00642EDD" w:rsidRPr="00847E8A" w:rsidRDefault="00642EDD" w:rsidP="00847E8A">
      <w:pPr>
        <w:jc w:val="center"/>
        <w:rPr>
          <w:b/>
        </w:rPr>
      </w:pPr>
      <w:r w:rsidRPr="00847E8A">
        <w:rPr>
          <w:b/>
        </w:rPr>
        <w:t>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CF277C" w:rsidRDefault="00CF277C" w:rsidP="00CF277C"/>
    <w:p w:rsidR="005C339C" w:rsidRPr="00CF277C" w:rsidRDefault="005C339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45796A" w:rsidRDefault="0045796A" w:rsidP="00847E8A"/>
    <w:p w:rsidR="00A453F1" w:rsidRDefault="00A453F1" w:rsidP="00847E8A"/>
    <w:p w:rsidR="00A453F1" w:rsidRDefault="00A453F1" w:rsidP="00847E8A">
      <w:bookmarkStart w:id="1" w:name="_GoBack"/>
      <w:bookmarkEnd w:id="1"/>
    </w:p>
    <w:p w:rsidR="00642EDD" w:rsidRPr="0045796A" w:rsidRDefault="0045796A" w:rsidP="0045796A">
      <w:pPr>
        <w:jc w:val="center"/>
        <w:rPr>
          <w:b/>
        </w:rPr>
      </w:pPr>
      <w:r>
        <w:rPr>
          <w:b/>
        </w:rPr>
        <w:lastRenderedPageBreak/>
        <w:t>VI. časť</w:t>
      </w:r>
    </w:p>
    <w:p w:rsidR="00642EDD" w:rsidRPr="00847E8A" w:rsidRDefault="0045796A" w:rsidP="00847E8A">
      <w:pPr>
        <w:jc w:val="center"/>
        <w:rPr>
          <w:b/>
        </w:rPr>
      </w:pPr>
      <w:r>
        <w:rPr>
          <w:b/>
        </w:rPr>
        <w:t xml:space="preserve">Záverečné </w:t>
      </w:r>
      <w:r w:rsidR="00642EDD" w:rsidRPr="00847E8A">
        <w:rPr>
          <w:b/>
        </w:rPr>
        <w:t>ustanovenia</w:t>
      </w:r>
    </w:p>
    <w:p w:rsidR="0045796A" w:rsidRDefault="0045796A" w:rsidP="0045796A">
      <w:pPr>
        <w:jc w:val="center"/>
        <w:rPr>
          <w:b/>
        </w:rPr>
      </w:pPr>
    </w:p>
    <w:p w:rsidR="005C339C" w:rsidRDefault="005C339C" w:rsidP="0045796A">
      <w:pPr>
        <w:jc w:val="cente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Z.z. o miestnych daniach a miestnom poplatku za komunálne a drobné stavebné odpady </w:t>
      </w:r>
      <w:r w:rsidR="00213F58">
        <w:t xml:space="preserve">v znení neskorších predpisov </w:t>
      </w:r>
      <w:r w:rsidRPr="00847E8A">
        <w:t>a zákon č. 563</w:t>
      </w:r>
      <w:r w:rsidR="0045796A">
        <w:t>/</w:t>
      </w:r>
      <w:r w:rsidRPr="00847E8A">
        <w:t>2009 Z.z.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5C339C">
        <w:t>9</w:t>
      </w:r>
      <w:r w:rsidR="00895BCC">
        <w:t>/201</w:t>
      </w:r>
      <w:r w:rsidR="005C339C">
        <w:t>5</w:t>
      </w:r>
      <w:r w:rsidR="00895BCC">
        <w:t>-</w:t>
      </w:r>
      <w:r w:rsidR="00A453F1">
        <w:t>XII</w:t>
      </w:r>
      <w:r w:rsidR="00E94FD4">
        <w:t xml:space="preserve"> d</w:t>
      </w:r>
      <w:r w:rsidR="009C3653">
        <w:t xml:space="preserve">ňa </w:t>
      </w:r>
      <w:r w:rsidR="00A453F1">
        <w:t>14.</w:t>
      </w:r>
      <w:r w:rsidR="005C339C">
        <w:t>12.2015</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A453F1">
        <w:t>15.12.</w:t>
      </w:r>
      <w:r w:rsidR="005C339C">
        <w:t>2015</w:t>
      </w:r>
      <w:r w:rsidR="009C3653">
        <w:t xml:space="preserve"> a</w:t>
      </w:r>
      <w:r>
        <w:t xml:space="preserve"> zvesené dňa </w:t>
      </w:r>
      <w:r w:rsidR="00A453F1">
        <w:t>29.</w:t>
      </w:r>
      <w:r w:rsidR="009C3653">
        <w:t>12.201</w:t>
      </w:r>
      <w:r w:rsidR="005C339C">
        <w:t>5</w:t>
      </w:r>
      <w:r w:rsidR="009C3653">
        <w:t>.</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5C339C">
        <w:t>10</w:t>
      </w:r>
      <w:r w:rsidR="00E94FD4">
        <w:t>/201</w:t>
      </w:r>
      <w:r w:rsidR="005C339C">
        <w:t>5</w:t>
      </w:r>
      <w:r w:rsidR="00E94FD4">
        <w:t xml:space="preserve"> </w:t>
      </w:r>
      <w:r w:rsidRPr="00847E8A">
        <w:t>nadobúda účinnosť dňom 01.01.201</w:t>
      </w:r>
      <w:r w:rsidR="005C339C">
        <w:t>6</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847E8A">
      <w:pPr>
        <w:ind w:left="4956" w:firstLine="708"/>
      </w:pPr>
      <w:r w:rsidRPr="00847E8A">
        <w:t xml:space="preserve"> starosta obce </w:t>
      </w:r>
    </w:p>
    <w:p w:rsidR="00642EDD" w:rsidRPr="00847E8A" w:rsidRDefault="00642EDD" w:rsidP="00213F58"/>
    <w:p w:rsidR="00642EDD" w:rsidRPr="00847E8A" w:rsidRDefault="00642EDD" w:rsidP="00213F58"/>
    <w:sectPr w:rsidR="00642EDD" w:rsidRPr="00847E8A" w:rsidSect="0087550C">
      <w:footerReference w:type="default" r:id="rId9"/>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36" w:rsidRDefault="00053D36">
      <w:r>
        <w:separator/>
      </w:r>
    </w:p>
  </w:endnote>
  <w:endnote w:type="continuationSeparator" w:id="0">
    <w:p w:rsidR="00053D36" w:rsidRDefault="000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č.10/2015</w:t>
    </w:r>
  </w:p>
  <w:p w:rsidR="00E413DD" w:rsidRDefault="00053D3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36" w:rsidRDefault="00053D36">
      <w:r>
        <w:separator/>
      </w:r>
    </w:p>
  </w:footnote>
  <w:footnote w:type="continuationSeparator" w:id="0">
    <w:p w:rsidR="00053D36" w:rsidRDefault="0005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53D36"/>
    <w:rsid w:val="00064ECA"/>
    <w:rsid w:val="0007285E"/>
    <w:rsid w:val="000E09A7"/>
    <w:rsid w:val="00131A94"/>
    <w:rsid w:val="00140B95"/>
    <w:rsid w:val="00213F58"/>
    <w:rsid w:val="002147DC"/>
    <w:rsid w:val="00227B77"/>
    <w:rsid w:val="002867D1"/>
    <w:rsid w:val="002B279B"/>
    <w:rsid w:val="002F051C"/>
    <w:rsid w:val="0031241B"/>
    <w:rsid w:val="003768A3"/>
    <w:rsid w:val="003B772B"/>
    <w:rsid w:val="003E25D3"/>
    <w:rsid w:val="0045796A"/>
    <w:rsid w:val="00484981"/>
    <w:rsid w:val="004A0D7E"/>
    <w:rsid w:val="004D33A7"/>
    <w:rsid w:val="00583FCF"/>
    <w:rsid w:val="00586B28"/>
    <w:rsid w:val="005C339C"/>
    <w:rsid w:val="006136BA"/>
    <w:rsid w:val="00642EDD"/>
    <w:rsid w:val="0064782A"/>
    <w:rsid w:val="00656987"/>
    <w:rsid w:val="00714723"/>
    <w:rsid w:val="00740DF8"/>
    <w:rsid w:val="007F72EF"/>
    <w:rsid w:val="00847E8A"/>
    <w:rsid w:val="0087550C"/>
    <w:rsid w:val="008912D5"/>
    <w:rsid w:val="00895BCC"/>
    <w:rsid w:val="008C34E0"/>
    <w:rsid w:val="00935027"/>
    <w:rsid w:val="0094505D"/>
    <w:rsid w:val="00946BE4"/>
    <w:rsid w:val="00993E50"/>
    <w:rsid w:val="009C3653"/>
    <w:rsid w:val="00A137D1"/>
    <w:rsid w:val="00A376CD"/>
    <w:rsid w:val="00A453F1"/>
    <w:rsid w:val="00A60C06"/>
    <w:rsid w:val="00AC7F33"/>
    <w:rsid w:val="00AF23FD"/>
    <w:rsid w:val="00B03DE5"/>
    <w:rsid w:val="00BA0AF9"/>
    <w:rsid w:val="00BA2B7F"/>
    <w:rsid w:val="00C4465C"/>
    <w:rsid w:val="00CB00E7"/>
    <w:rsid w:val="00CF277C"/>
    <w:rsid w:val="00CF40FE"/>
    <w:rsid w:val="00CF5359"/>
    <w:rsid w:val="00D21BB4"/>
    <w:rsid w:val="00D26CB0"/>
    <w:rsid w:val="00D43588"/>
    <w:rsid w:val="00D5254A"/>
    <w:rsid w:val="00D73D1D"/>
    <w:rsid w:val="00DA6596"/>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1E8-B33D-4828-BAEC-04C9DDAD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4902</Words>
  <Characters>27942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2</cp:revision>
  <cp:lastPrinted>2015-12-21T12:29:00Z</cp:lastPrinted>
  <dcterms:created xsi:type="dcterms:W3CDTF">2015-12-21T12:30:00Z</dcterms:created>
  <dcterms:modified xsi:type="dcterms:W3CDTF">2015-12-21T12:30:00Z</dcterms:modified>
</cp:coreProperties>
</file>